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23.12.2021 требование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реестр. Девятый арбитражный апелляционный суд постановлением от 04.04.2022 отменил определение от 23.12.2021 и включил требование в состав третьей очереди реестра. Арбитражный суд Московского округа постановлением от 09.06.2022 постановление апелляционного суда от 04.04.2022 оставил без изменения. В кассационной жалобе общество «Тритайл» просит об отмене судебных актов апелляционного и окружного судов, ссылаясь на неосновательное восстановление срока на включение требования в реестр.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банка как подтвержденное решением суда общей юрисдикции и соответствующее статьям 71, 100 Федерального закона от 26.10.2002 № 127-ФЗ «О несостоятельности (банкротстве)». Восстановление срока для включения требования в реестр отнесено к компетенции суда, применение которой не пересматривается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«Тритайл»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