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требований в размере 20 000 000 рублей основного долга и 4 659 630 рублей 47 копеек процентов задолженности по договору займа от 09.07.2018 № 1/ДМАКФБ/18. Определением Арбитражного суда города Москвы от 25.11.2021, оставленным без изменения постановлениями Девятого арбитражного апелляционного суда от 03.03.2022 и Арбитражного суда Московского округа от 12.05.2022,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исходили из отсутствия причин для удовлетворения требований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 Мульти Ассорти»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