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06.10.2021, оставленным без изменения постановлением Одиннадцатого арбитражного апелляционного суда от 19.01.2022 и постановлением Арбитражного суда Поволжского округа от 23.05.2022, в удовлетворении иска отказано. В кассационной жалобе общество «ОрионТранс» просит об отмене судебных актов как основанных на ненадлежащем заключении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убытки не состоят в причинно- следственной связи с исполнением ответчиком обязательства, необходимой для взыскания их в силу статей 15, 393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Н.А, Ксенофотонтова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