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А40-195445/2021 и в счет уплаты государственной пошлины просит зачесть суммы, уплаченные по платежному поручению от 04.02.2019 № 187 и по платежному поручению от 16.06.2022 № 1810, на возврат которых выданы справки Арбитражным судом города Москвы.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2 Учитывая непредставление оригиналов документов, необходимых для зачета государственной пошлины, суд не может произвести зачет. Следствием отказа в зачете государственной пошлины является нерассмотрение по существу кассационной жалобы на основании пункта 1 части 1 статьи 291.5 Арбитражного процессуального кодекса Российской Федерации, которая будучи поданной в электронном виде возвращению не подлежит. Руководствуясь статьями 104, 184, 185, 291.3,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«СГ-Транс» в зачете государственной пошлины при подаче кассационной жалобы на постановление Арбитражного суда Московского округа от 10.08.2022 по делу № А40-195445/2021 Арбитражного суда города Москвы. Кассационную жалобу не рассматривать по существу.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