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24.06.2021, оставленным без изменения постановлением Второго арбитражного апелляционного суда от 22.11.2021 и постановлением Арбитражного суда Волго-Вятского округа от 04.05.2022, иск удовлетворен. В кассационной жалобе предприниматель просит об отмене судебных актов, ссылаясь на ошибки в расчете итогового сальдо, принятие ненадлежащего заключения эксперта, реализацию предмета лизинга по договорной цене.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предпринимателя рассмотрены и получили оценку, основанную на договоре и постановлении Пленума Высшего Арбитражного Суда Российской Федерации от 14.03.2014 № 17 «Об отдельных вопросах, связанных с договором выкупного лизинга».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"Транспортная лизинговая компания" (подробнее) Ответчики: ИП Удалов Александр Алексеевич (подробнее) Иные лица: Арбитражный суд Ярославской области (подробнее) МИФНС №1 по Вологодской области (подробнее) ООО "Эксперт- Инвест" (подробнее) ООО "Эксперт Плюс" (подробнее) Отдел адресно- справочной работы УВМ УМВД России по Вологодской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