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24.11.2021, оставленным без изменения постановлением Девятого арбитражного апелляционного суда от 10.02.2022 и постановлением Арбитражного суда Московского округа от 20.05.2022, иск удовлетворен. В кассационной жалобе, поданной в Верховный Суд Российской Федерации, компания, ссылаясь на нарушение судами норм материального права, просит отменить указанные судебные акты и принять новый судебный акт об отказе в удовлетворении иска.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2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исходя из конкретных обстоятельств дела, установив несоразмерность уплаченной обществом (исполнитель) неустойки последствиям нарушения обязательства, руководствуясь статьями 10, 309, 310, 329, 330, 421, 428, 779, 1102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пришли к выводу о наличии оснований для уменьшения размера неустойки по правилам статьи 333 Гражданского кодекса Российской Федерации, удовлетворив исковые требования.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«Федеральная пассажирская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