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12.11.2021, оставленным без изменения постановлением Тринадцатого арбитражного апелляционного суда от 11.02.2022 и постановлением Арбитражного суда Северо-Западного округа от 23.05.2022, в удовлетворении заявления отказано. В кассационной жалобе Титов А.С. просит об отмене судебных актов, ссылаясь на несоответствие выводов судов о мнимом характере сделок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кредитором доказательства наличия заемного обязательства при фактической аффилированности участников договора займа, неустановленной экономической целесообразности заключения сделки и отсутствии надлежащего подтверждения финансовой состоятельности кредитора признаны судами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к должнику.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Титову А.С.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