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Курской области от 10.12.2021, оставленным без изменения постановлением Девятнадцатого арбитражного апелляционного суда от 01.03.2022 и постановлением Арбитражного суда Центрального округа от 02.06.2022, в удовлетворении заявления отказано. В кассационных жалобах Демин П.В. и Дмитриева О.В. просят об отмене судебных актов,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 не усматривается. Установив, что оспариваемая сделка признана в качестве основания для взыскания с должника в пользу кредитора спорной суммы определением Арбитражного суда Курской области от 16.12.2020 и для установления требования в реестре должника в рамках дела о банкротстве, суды констатировали отсутствие условий для недействительности сделки в силу статей 10, 168, 170 Гражданского кодекса Российской Федерации и статьи 69 Арбитражного процессуального кодекса Российской Федерации. Приведенная в жалобах иная оценка обстоятельств совершения сделки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Демину Павла Владимировича и Дмитриевой Олесе Вадимовне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