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«Банкофф» (далее - ООО «Банкофф») обратилось в Арбитражный суд Хабаровского края с исковым заявлением к обществу с ограниченной ответственностью «Синтэкс Интернешнл» о взыскании 370 000 руб. задолженности по договору от 18.07.2019, 40 000 руб. неустойки за период с 19.08.2019 по 23.11.2020. К участию в деле в качестве третьего лица, не заявляющего самостоятельные требования относительно предмета спора, привлечено общество с ограниченной ответственностью «Южный склад» (далее - общество). Решением Арбитражного суда Хабаровского края от 19.04.2021, оставленным без изменения постановлением Шестого арбитражного апелляционного суда от 29.07.2021, в удовлетворении исковых требований отказано. Общество обратилось в арбитражный суд с заявлением о взыскании судебных расходов в сумме 450 000 руб. Определением Арбитражного суда Хабаровского края от 19.11.2021 произведена замена наименования истца с ООО «Банкофф» на общество с ограниченной ответственностью «Группа компаний БКФ» (далее - компания). 2 Определением Арбитражного суда Хабаровского края от 18.01.2022, оставленным без изменения постановлением Шестого арбитражного апелляционного суда от 05.04.2022 и постановлением Арбитражного суда Дальневосточного округа от 17.06.2022, заявление общества удовлетворено частично, в его пользу с компании взысканы судебные расходы по оплате представительских услуг в размере 100 000 руб. В кассационной жалобе, поданной в Верховный Суд Российской Федерации, компания, ссылаясь на нарушение судами норм права, просит отменить указанные судебные акты и принять новый судебный акт об отказе в удовлетворении заявления общества.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признав подтвержденным факт несения обществом судебных расходов в заявленном размере, руководствуясь статьями 106, 110, 112 Арбитражного процессуального кодекса Российской Федерации, разъяснениями, изложенными в информационном письме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учитывая характер спора, степень сложности дела, объем выполненной представителем работы, процессуальное поведение общества, суд первой инстанции установил разумную и обоснованную сумму затрат, понесенных обществом в связи с участием в деле, во взысканном размере. Суды апелляционной инстанции и округа поддержали вывод суда первой инстанции. Доводы кассационной жалобы не подтверждают нарушений судами норм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«Группа компаний БКФ»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