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17.08.2021 в удовлетворении заявления отказано. Постановлением Седьмого арбитражного апелляционного суда от 08.02.2022, оставленным без изменения постановлением Арбитражного суда Западно-Сибирского округа от 06.05.2022, определение отменено, заявление удовлетворено. В кассационной жалобе ФИО1 просит об отмене судебных актов, ссылаясь отсутствие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безвозмездное отчуждение имущества в пользу заинтересованного лица в ситуации наличия у должника денежных обязательств перед кредиторами в качестве условий для недействительности дарения в силу пункта 2 статьи 61.2 Федерального закона от 26.10.2002 № 127-ФЗ «О несостоятельности (банкротстве)». Вопрос об исполнительском иммунитете предмета дарения находится за пределами спора о юридической силе сделки.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Межрайонная инспекция федеральной налоговой службы России №7 по Томской области (подробнее) ООО "1-АЯ ВАТЕР КОМПАНИ" (подробнее) Иные лица: АССОЦИАЦИЯ "САМОРЕГУЛИРУЕМАЯ ОРГАНИЗАЦИЯ АРБИТРАЖНЫХ УПРАВЛЯЮЩИХ ЦЕНТРАЛЬНОГО ФЕДЕРАЛЬНОГО ОКРУГА" (подробнее) Управление Федеральной службы государственной регистрации, кадастра и картографии по Томской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