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17.12.2021, оставленным без изменения постановлением Восьмого арбитражного апелляционного суда от 01.03.2022 и постановлением Арбитражного суда Западно-Сибирского округа от 09.06.2022, исковые требования удовлетворены.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 в Арбитражный суд Тюменской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183, 309, 310, 329, 330, 779, 781, 783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оказания предпринимателем (исполнитель) услуг на заявленную сумму, их принятия обществом (заказчик), отсутствие доказательств, опровергающих объем и стоимость оказанных услуг, как и свидетельствующих об их оплате, суды первой и апелляционной инстанций пришли к выводу о наличии оснований для взыскания с общества задолженности. Исходя из подтвержденности факта нарушения обществом сроков оплаты оказанных услуг, проверив и признав верным представленный предпринимателем расчет неустойки, не установив оснований для применения положений статьи 333 Гражданского кодекса Российской Федерации, суды удовлетворили требование истца о взыскании неустойки.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«Креатив-Строй»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