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10.01.2022, оставленным без изменения постановлением Шестого арбитражного апелляционного суда от 22.03.2022 и постановлением Арбитражного суда Дальневосточного округа от 22.06.2022, в удовлетворении первоначального иска отказано, встречный иск удовлетворен. В кассационной жалобе, поданной в Верховный Суд Российской Федерации, общество, ссылаясь на незаконность указанных судебных актов, 2 просит их отменить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спорного договора, установив факт перечисления предприятием (заказчик) в пользу общества (подрядчик) аванса, признав правомерным односторонний отказ заказчика от исполнения договора, принимая во внимание отсутствие доказательств выполнения подрядчиком работ на заявленную заказчиком сумму либо ее возврата последнему, руководствуясь статьями 309, 310, 450.1, 453, 702, 708, 715, 716, 719, 723, 740, 1102 Гражданского кодекса Российской Федерации, суды первой и апелляционной инстанций пришли к выводу о наличии оснований для отказа в удовлетворении первоначального иска и удовлетворения встречных требований,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общества о приостановлении исполнения обжалуемых судебных актов рассмотрению не подлежит. Определением Верховного Суда Российской Федерации от 22.07.2022 обществу предоставлена отсрочка по уплате государственной пошлины при подаче кассационной жалобы до окончания кассационного производства. Так как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3 В силу части 2 статьи 319 Арбитражного процессуального кодекса Российской Федерации исполнительный лист подлежит выдаче Арбитражным судом Хабаровского края.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«СДМК»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«СДМК» в доход федерального бюджета 3000 (три тысячи) рублей государственной пошлины за подачу кассационной жалобы. Поручить Арбитражному суду Хабаровского края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