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07.10.2021, оставленным без изменения постановлением Семнадцатого арбитражного апелляционного суда от 07.02.2022 и постановлением Арбитражного суда Уральского округа от 12.05.2022,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В кассационной жалобе ФИО1 просит об отмене судебных актов,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и оценили поведение должника в процедурах банкротства и установили его действия,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кредитором.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ЗАО "Регистратор Интарко" (подробнее) ЗАО "Спортивная деревня "Гамильтон" (подробнее) ИНСПЕКЦИЯ МИНИСТЕРСТВА РОССИЙСКОЙ ФЕДЕРАЦИИ ПО НАЛОГАМ И СБОРАМ ПО ДЗЕРЖИНСКОМУ РАЙОНУ Г. ПЕРМИ (подробнее) ОАО "Транскапиталбанк" (подробнее) ПАО Банк "Финансовая Корпорация Открытие" (подробнее) ПАО "Транскапиталбанк" (подробнее) Иные лица: Ассоциация СРО АУ "Центральное агентство арбитражных управляющих" (подробнее) ГУ Управление по вопросам миграции МВД России по Пермскому краю (подробнее) НП "СОАУ Центрального федерального округа" (подробнее) ОАО АКБ "Урал ФД" (подробнее) ООО ИФНС по Мотовилихинскому району г. Перми//представителю собрания кредиторов ГарантИнвестЛизинг (подробнее) Федеральная антимонопольная служба по Пермскому краю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