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18.10.2021, оставленным без изменения постановлением Десятого арбитражного апелляционного суда от 24.02.2022 и постановлением Арбитражного суда Московского округа от 16.05.2022, в удовлетворении заявлений отказано. В кассационной жалобе Черкасов А.В. просит об отмене судебных актов, ссылаясь на несоответствие выводов судов обстоятельствам спора, неправильное применение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нарушений, которые могли бы повлечь констатацию незаконности действий финансового управляющего, поэтому в силу статей 20.3, 20.4, 60 Федерального закона от 26.10.2002 № 127-ФЗ «О несостоятельности (банкротстве)» и их судебного толкования отклонили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Черкасову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