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города Москвы от 22.11.2021, оставленным без изменения постановлением Девятого арбитражного апелляционного суда от 26.01.2022 и постановлением Арбитражного суда Московского округа от 21.04.2022,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материального и процессуального норм права, просит отменить указанные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материалов дела и доводов заявителя не установлено. Как следует из материалов дела и установлено судами, учреждение (заказчик) и общество (подрядчик) 28.06.2019 заключили гражданско-правовой договор бюджетного учреждения № 1290/21-2019 (далее – договор), по условиям которого подрядчик обязался по заданию заказчика выполнить работы по проведению текущего ремонта в объеме, установленном в техническом задании, а заказчик – принять и оплатить результат выполненных работ. Общество, ссылаясь на наличие на стороне учреждения задолженности за выполненные и принятые работы, обратилось в арбитражный суд с настоящим иском.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договора, установив, что подрядчик, предупредив заказчика о невозможности качественного выполнения работ, в частности, по устройству световых фонарей с использованием пластиковых рам, не приостановил производство данных работ до получения указаний заказчика, а продолжил их выполнение; выполненные подрядчиком работы по договору имеют критические недостатки, о чем последний был неоднократно уведомлен, однако от устранения недостатков уклонился; окончательный результат работ не достигнут, руководствуясь статьями 309, 310, 716, 740, 763, 766 Гражданского кодекса Российской Федерации, суды первой и апелляционной инстанций пришли к выводу об отсутствии оснований для удовлетворения иска. Суд округа поддержал выводы судов первой и апелляционной инстанций. Изложенные в кассационной жалобе доводы не опровергают выводы судов, не свидетельствуют о нарушениях судами норм права, а сводятся к несогласию с установленными по делу фактическими обстоятельствами и направлены на их переоценку, что не входит в полномочия Верховного Суда Российской Федерации. Поскольку существенных нарушений судами норм материального права и (или) норм процессуального права, повлиявших на исход дела, доводы кассационной жалобы не подтверждают, оснований для передачи жалобы для рассмотрения в судебном заседании Судебной коллегии Верховного Суда Российской Федерации не имеется.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«Номер»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