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04.10.2021, оставленным без изменения постановлением Семнадцатого арбитражного апелляционного суда от 24.01.2022 и постановлением Арбитражного суда Уральского округа от 19.05.2022, иск удовлетворен. В кассационной жалобе, поданной в Верховный Суд Российской Федерации, общество, ссылаясь на незаконность указанных судебных актов, просит их отменить и принять по делу новый судебный акт об отказе в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196, 197, 291, 309, 310, 721, 722, 724, 725, 755, 756 Гражданского кодекса Российской Федерации, статьями 138, 161 Жилищного кодекса Российской Федерации,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суды первой и апелляционной инстанций пришли к выводу о наличии оснований для удовлетворения иска, исходя из доказанности товариществом факта наличия дефектов на фасаде, кровле и внутренней отделке мест общего пользования многоквартирного дома, возникших по вине общества (застройщик), обнаружения товариществом недостатков в пределах гарантийного срока и соблюдения им срока исковой давности по заявленному требованию.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«Специализированный застройщик «ПИК-Регион»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