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Оренбургской области от 29.12.2021, оставленным без изменения постановлением Восемнадцатого арбитражного апелляционного суда от 18.03.2022 и постановлением Арбитражного суда Уральского округа от 29.06.2022, принят отказ общества от исковых требований к комбинату, производство по делу в указанной части прекращено, в удовлетворении исковых требований в остальной части отказано. В кассационной жалобе, поданной в Верховный Суд Российской Федерации, общество, ссылаясь на нарушение судами норм материального 2 и процессуального права, просит отменить указанные судебные акты и принять по делу новый судебный акт об удовлетворении исковых требований.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статьями 8, 307, 309, 310, 410, 432, 702, 708, 709, 720, 740 Гражданского кодекса Российской Федерации, суды первой и апелляционной инстанций, с которыми впоследствии согласился суд округа, пришли к выводу об отсутствии оснований для удовлетворения исковых требований, исходя из недоказанности обществом наличия на стороне компании задолженности. Из содержания судебных актов следует, что суды всесторонне исследовали доказательства по делу, установили необходимые для разрешения спора обстоятельства и дали надлежащую правовую оценку доводам заявителя.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«Оренбургтеплоизоляция»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