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29.11.2021, оставленным без изменения постановлением Восьмого арбитражного апелляционного суда от 24.03.2022 и постановлением Арбитражного суда Западно-Сибирского округа от 14.06.2022, исковые требования удовлетворены, распределены судебные расходы по уплате государственной пошлины. В кассационной жалобе, поданной в Верховный Суд Российской Федерации, общество просит отменить указанные судебные акты в части взыскания с него неустойки и распределения судебных расходов как незаконные.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исходя из конкретных обстоятельств дела и содержания условий спорного договора, определяющих порядок исполнения обязательств и меру ответственности, суды первой и апелляционной инстанций применительно к правилам толкования договоров (статья 431 Гражданского кодекса Российской Федерации) установили наличие правовых оснований для взыскания с общества неустойки (пеней) и, проверив и признав верным представленный компанией расчет неустойки, руководствуясь статьями 329, 330, 779, 781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удовлетворили соответствующее исковое требование.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«Югра Благоустройство»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