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29.10.2021, оставленным без изменения постановлением Десятого арбитражного апелляционного суда от 26.01.2022 и постановлением Арбитражного суда Московского округа от 19.05.2022,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оказания предпринимателем услуг обществу и неисполнение последним обязательства по их оплате. Исходя из того, что обязательство общества по оплате спорных услуг возникло после принятия судом заявления о признании его банкротом, в связи с чем заявленное требование является текущим, отклонив доводы ответчика о мнимости договора, руководствуясь статьями 309, 310, 395, 779, 781 Гражданского кодекса Российской Федерации, статьей 5 Федерального закона от 26.10.2002 № 127-ФЗ «О несостоятельности (банкротстве)», суды удовлетворили иск, с чем впоследствии согласился суд округа. Доводы заявителя о наличии оснований для прекращения производства по делу были предметом рассмотрения судебных инстанций и отклонены с учетом конкретных фактических обстоятельств. Доводы кассационной жалобы не подтверждают наличия существенных нарушений норм права, влекущих пересмотр обжалуемых судебных актов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«Прибор-Контроль»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