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20.12.2021, оставленным без изменения постановлением Девятого арбитражного апелляционного суда от 02.03.2022, в удовлетворении исковых требований отказано. Постановлением Арбитражного суда Московского округа от 26.05.2022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 исходил из того, суды неправильно применили нормы материального права и не исследовали все обстоятельства, имеющие существенное значение для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«Поволжье-Авто»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