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об отсрочке уплаты государственной пошлины, мотивированное отсутствием у него денежных средств, необходимых для уплаты пошлины в установленном размере.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В соответствии с пунктом 2 статьи 333.22 Налогового кодекса Российской Федерации арбитражные суды, исходя из имущественного положения плательщика, вправе освободить его от уплаты государственной пошлины 2 по делам, рассматриваемым указанными судами, либо уменьшить ее размер, а также отсрочить (рассрочить) ее уплату в порядке, предусмотренном статьей 333.41 данного Кодекса.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 ходатайство подлежит удовлетворению. Руководствуясь статьями 102, 184, 185 Арбитражного процессуального кодекса Российской Федерации, статьями 333.22,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закрытого акционерного общества «Дальневосточная строительная компания» удовлетворить. Предоставить закрытому акционерному обществу «Дальневосточная строительная компания» отсрочку уплаты государственной пошлины сроком до окончания производства по кассационной жалобе.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