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публично-правовая компания «Фонд развития территорий» (далее – фонд) обратилась в суд с заявлением о передаче прав должника на земельный участок с кадастровым номером 50:37:0050403:905 со всеми неотделимыми улучшениями, в том числе объект незавершенного строительства с кадастровым номером 50:37:0050403:935 по адресу: Московская обл., Каширский р-н, сп. Знаменское, п. Большое Руново, ул. Садовая, д. 13, прав на проектную документацию, включающую в себя все внесенные в нее изменения. Определением Арбитражного суда Московской области от 07.02.2022, оставленным без изменения постановлениями Десятого арбитражного апелляционного суда от 25.05.2021,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вопрос на новое рассмотрение в суд первой инстанции. Банк ссылается на нарушение его прав как залогового кредитора, требования которого обеспечены залогом имущества, переданного фонду без какой-либо компенсации.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Постановлением Конституционного Суда Российской Федерации от 21.07.2022 № 34-П (далее – постановление № 34-П) признаны несоответствующими Конституции Российской Федерации части 14 и 17 статьи 16 Федерального закона от 27.06.2019 № 151-ФЗ во взаимосвязи с пунктом 11 статьи 201.15-2 Федерального закона от 26.10.2002 № 127-ФЗ «О несостоятельности (банкротстве)» в той мере, в какой они в системе действующего правового регулирования не предусматривают необходимых правовых гарантий защиты прав кредиторов, не являющихся участниками строительства, при прекращении их залоговых прав в связи с передачей земельного участка, объекта незавершенного строительства фонду. В тексте постановления отмечено, что признание названных положений несоответствующими Конституции Российской Федерации не должно означать восстановления залоговых прав кредиторов, не являющихся участниками строительства и приобретших права залогодержателей до принятия оспариваемого регулирования. Конституционным Судом Российской Федерации указано на возможность для таких кредиторов требовать от фонда выплаты компенсаций, предусмотренных пунктом 4 резолютивной части упомянутого постановления № 34-П. Таким образом, заявитель имеет возможность предъявить к фонду требование о взыскании упомянутой компенсации. При таких условиях доводы жалобы не свидетельствуют о наличии оснований для её передачи на рассмотрение в судебном заседании.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Сельскохозяйственный 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