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«РТИ» (далее – общество) обратилось в суд с заявлением о включении в реестр требований кредиторов должника (далее – реестр) его требований в размере 29 116 404 рубля 16 копеек. Определением Арбитражного суда города Москвы от 14.10.2021, оставленным без изменения постановлениями Девятого арбитражного апелляционного суда от 17.02.2022 и Арбитражного суда Московского округа от 11.05.2022, требование общества в вышеуказанном размере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71, 100 и 142 Федерального закона от 26.10.2002 № 127-ФЗ «О несостоятельности (банкротстве)», отклонив доводы о пропуске срока исковой давности, пришли к выводу об обоснованности и подтверждённости требований общества к должнику и, как следствие, признали наличие оснований для их включения в реестр.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«Каскад-Телеком» Алешичеву Виктору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