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25.11.2021, оставленным без изменения постановлением Первого арбитражного апелляционного суда от 09.02.2022 и постановлением Арбитражного суда Волго-Вятского округа от 19.05.2022, в удовлетворении заявления отказано. В кассационной жалобе банк просит об отмене судебных актов, ссылаясь на неправомерность отказа в реализации залогового имущества гражданина в процедуре реструктуризации его долгов, учитывая истечение срока на представление плана реструктуризации.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 незавершение процедуры реструктуризации, поэтому требования отклонено в силу пункта 1 статьи 213.10 Федерального закона от 26.10.2002 № 127-ФЗ «О несостоятельности (банкротстве)» 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«Акционерный коммерческий банк «Славия»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