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Арбитражным судом Свердловской области рассмотрены объединенные заявления Банка ВТБ (ПАО) и ФГКУ «Росвоенипотека» о включении в реестр требований кредиторов должника задолженности, обеспеченной залогом имущества должника. Определением Арбитражного суда Свердловской области от 07.12.2021 в удовлетворении заявления ФГКУ «Росвоенипотека» отказано; требование Банка ВТБ (ПАО) включено в третью очередь реестра требований кредиторов должника в размере 1 699 454 рублей 05 копеек, как обеспеченное залогом недвижимости. Постановлением Семнадцатого арбитражного апелляционного суда от 01.03.2022 определение суда первой инстанции оставлено без изменения. Арбитражный суд Уральского округа постановлением от 24.05.2022 указанные судебные акты оставил без изменения. Толчевский Д.А.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требование банка обоснованным и подлежащим включению в реестр требований кредиторов должника, суды руководствовались положениями статей 71, 100, 213.24 Федерального закона от 26.10.2002 № 127-ФЗ «О несостоятельности (банкротстве)», положениями Федерального закона от 20.08.2004 № 117-ФЗ «О накопительно-ипотечной системе жилищного обеспечения военнослужащих» и исходили из того, что кредитный договор заключен между должником и банком, соглашение о целевом займе не предусматривало перевода долга на ФГКУ «Росвоенипотека», следовательно, обязанным лицом перед Банком ВТБ (ПАО) по кредитному договору является именно должник, срок исполнения кредитных обязательств, обеспеченных залогом имущества должника (ипотекой квартиры), считается наступившим.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