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«Анама-групп» обратилось в суд с заявлением о включении в реестр требований кредиторов должника его требования в размере 40 600 104 рубля 43 копейки неосновательного обогащения и процентов за пользование чужими денежными средствами, возникшего в связи с перечислением должнику денежных средств в период с 12.12.2014 по 18.10.2016. Определением Арбитражного суда Нижегородской области от 11.10.2021, оставленным без изменения постановлениями Первого арбитражного апелляционного суда от 23.12.2021 и Арбитражного суда Волго-Вятского округа от 06.05.2022, в удовлетворении заявления отказано. В кассационной жалобе, поданной в Верховный Суд Российской Федерации, заявитель просит отменить оспариваемые судебные акты, ссылаясь на нарушение судами норм материального права, дело направить на новое рассмотрение в суд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195, 196, 200 Гражданского кодекса Российской Федерации, пунктом 3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пришли к выводу об отсутствии оснований для включения требований общества «Анама-групп» в реестр требований кредиторов должника.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их выводы не опровергают, основаны на ином толковании норм права и направлены на переоценку установленных по делу фактических обстоятельств, что не входит в полномочия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«Анама-групп» Чамурову Владимиру Ильичу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