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Ляпин М.Н. обратился в суд с заявлением о признании недействительными сделок по передаче Федеральному казённому учреждению «Центр хозяйственного и сервисного обеспечения Главного управления МВД России по Челябинской области» топлива и применении последствий недействительности сделок. Определением Арбитражного суда Челябинской области от 22.11.2021, оставленным без изменения постановлениями Восемнадцатого арбитражного апелляционного суда от 07.02.2022 и Арбитражного суда Уральского округа от 06.05.2022, отказано в удовлетворении заявления. В кассационной жалобе, поданной в Верховный Суд Российской Федерации, заявитель просит отменить указанные судебные акты и направить обособленный спор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доводов кассационной жалобы и отзыва на неё таких оснований не установлено. Разрешая спор, суды, руководствуясь статьями 10 и 168 Гражданского кодекса российской Федерации, статьёй 61.2 Федерального закона от 26.10.2002 № 127-ФЗ «О несостоятельности (банкротстве)», исходили из недоказанности причин для удовлетворения требований конкурсного управляющего должником по заявленным основаниям.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заявителя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«Нефтетрансойл» Ляпину Михаилу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