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разрешении разногласий, возникших у него с Мустафиной Гузель Рашитовной, по вопросу включения в реестр требований кредиторов должника и реестр текущих платежей задолженности по оплате труда и выходного пособия работников должника, приобретенной Мустафиной Г.Р. по договору уступки права требования после возбуждения дела о банкротстве должника. Исходя из доводов заявления, конкурсный управляющий настаивал на отказе во включении заявленного требования Мустафиной Г.Р. в соответствующий реестр, либо о необходимости их субординации и удовлетворения в очередности, предшествующей распределению ликвидационной квоты. Определением Арбитражного суда Республики Татарстан от 11.10.2021, оставленным без изменения постановлениями Одиннадцатого арбитражного апелляционного суда от 24.02.2022 и Арбитражного суда Поволжского округа от 05.05.2022 в удовлетворении заявления конкурсного управляющего должником отказано. 2 В кассационной жалобе, поданной в Верховный Суд Российской Федерации, заявитель просит отменить указанные судебные акты, ссылаясь на нарушение норм материального права,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60 Федерального закона от 26.10.2002 № 127-ФЗ «О несостоятельности (банкротстве)», исходили из отсутствия оснований для удовлетворения требований конкурсного управляющего о разрешении разногласий.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«Электротранспорт» Залялетдинову Ильдару Назимовичу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