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22.09.2021 завершена процедура реализации имущества должника и к должнику применено правило об освобождении от дальнейшего исполнения требований кредиторов, не заявленных при введении реализации имущества гражданина, за исключением требований кредиторов, предусмотренных пунктами 4, 5, и 6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Постановлением Первого арбитражного апелляционного суда от 01.02.2022 определение суда первой инстанции отменено в части освобождения должника от дальнейшего исполнения требования кредитора Копениной Л.В. в размере 938 390 рублей и должник не освобожден в указанной части от исполнения обязательств перед кредитором. Арбитражный суд Волго-Вятского округа постановлением от 03.06.2022 постановление суда апелляционной инстанции оставил без изменения. Серебряков В.Н.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апелляционной и кассационной инстанций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Копениной Л.В.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