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Дрынкина К.В. в Арбитражный суд города Москвы обратился Климанов Константин Викторович с заявлением о включении требования в реестр требований кредиторов должника. Определением Арбитражного суда города Москвы от 28.09.2021 заявление удовлетворено, включено в третью очередь реестра требований кредиторов должника требование Климанова К.В. в размере 3 000 000 рублей - основной долг, 630 000 рублей - проценты за пользование займом, 8 430 рублей 33 копеек - проценты за пользование чужими денежными средствами с учетом пункта 3 статьи 137 Федерального закона «О несостоятельности (банкротстве)». Постановлением Девятого арбитражного апелляционного суда от 25.02.2022 определение суда первой инстанции оставлено без изменения. Арбитражный суд Московского округа постановлением от 18.05.2022 указанные судебные акты оставил без изменения. Финансовый управляющий Лашманов Е.А.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309, 310, 807, 809 Гражданского кодекса Российской Федерации, статьями 16, 71, 100, 138, 213.8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доказанности факта реальной передачи должнику денежных средств по спорному договору займа, наличия у кредитора финансовой возможности предоставить заем в оспариваемой сумме, признав заявленное требование обоснованным и подлежащим включению в реестр требований кредиторов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