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Брянской области от 29.12.2021, оставленным без изменения постановлением Двадцатого арбитражного апелляционного суда от 01.03.2022 и постановлением Арбитражного суда Центрального округа от 30.05.2022, в пересмотре определения от 10.08.2018 отказано. В кассационной жалобе общество просит об отмене судебных актов об отказе в пересмотре определения от 10.08.2020, ссылаясь на ненадлежащую оценку заявленного обстоятельства, неосновательный вывод о пропуске срока на подачу заявления.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правильно оценили отсутствие влияния заявленного обстоятельства на существо определения, необходимого в силу части 2 статьи 311 Арбитражного процессуального кодекса Российской Федерации для пересмотра этого судебного акта. Иная позиция общества не создает основания для пересмотра судебных актов в кассационном порядке. Довод, касающийся срока подачи заявления, не имеет значения в имеющемся случае рассмотрения заявления по существу.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«Сфера»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