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17.12.2021, оставленным без изменения постановлением Десятого арбитражного апелляционного суда от 08.02.2022 и постановлением Арбитражного суда Московского округа от 29.04.2022, из конкурсной массы должника исключена квартира, расположенная по адресу: Московская область, г. Люберцы, ул. Черемухина, д. 4, кв. 1. В кассационной жалобе акционерное общество «ДОМ.РФ» просит об отмене судебных актов, ссылаясь на отсутствие правовых оснований для придания спорной квартире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Сохранение за должником и его иждивенцами квартиры основано на установленном социальном положении этих лиц и учитывает соотношение их личных прав с имущественными интересами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«ДОМ.РФ»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