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Марий Эл от 21.09.2021, оставленным без изменения постановлением Первого арбитражного апелляционного суда от 17.01.2022 и постановлением Арбитражного суда Волго-Вятского округа от 05.05.2022, процедура реализации имущества завершена без применения в отношении должника правил об освобождении от дальнейшего исполнения обязательства перед налоговым органом. В кассационной жалобе Турцев А.В. просит об отмене судебных актов, ссылаясь на несоответствие вывода судов о его недобросовестном поведении обстоятельствам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По итогу исследования обстоятельств образования спорной задолженности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ее уплаты. Иная оценка должником своего поведения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Турцеву Александру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