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28.01.2020 ФИО1 признан несостоятельным (банкротом), в отношении него введена процедура реализации имущества гражданина, финансовым управляющим утвержден ФИО2. ФИО3, ФИО4, ФИО5, ФИО6, ФИО7 обратились в Арбитражный суд Свердловской области с заявлением о включении в реестр требований кредиторов должника суммы задолженности в качестве обязательства, обеспеченного залогом имущества должника. ФИО1 обратился в суд с ходатайством об исключении имущества из конкурсной массы должника - квартиры, расположенной по адресу &lt;...&gt;. Определением Арбитражного суда Свердловской области от 10.11.2020 обособленный спор по заявлению о включении требования в реестр требований кредиторов должника и заявление должника об исключении имущества из конкурсной массы объединены в одно производство для совместного рассмотрения. Определением Арбитражного суда Свердловской области от 30.12.2020 в удовлетворении заявления ФИО3, ФИО4, ФИО5, ФИО6, ФИО7 о включении требования в реестр требований кредиторов должника отказано. Заявление ФИО1 об исключении имущества из конкурсной массы удовлетворено. Постановлением Семнадцатого арбитражного апелляционного суда от 16.03.2021 определение суда первой инстанции отменено. Требования ФИО3 в размере 4 200 000 рублей, ФИО4 в размере 700 000 рублей, ФИО5 в размере 700 000 рублей, ФИО6 в размере 700 000 рублей, ФИО7 в размере 700 000 рублей основного долга признаны обоснованными и подлежащими включению в третью очередь реестра требований кредиторов должника, как обеспеченные залогом имущества должника, в удовлетворении требований в остальной части отказано. В удовлетворении заявления ФИО1 об исключении из конкурсной массы квартиры отказано. Арбитражный суд Уральского округа постановлением от 31.05.2021 постановление суда апелляционной инстанции оставил без изменения. ФИО1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 руководствовался положениями статей 334 , 385 , 446 , 807 Гражданского кодекса Российской Федерации, статей 16, 100, 213.24, 213.25 Федерального закона от 26.10.2002№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 из наличия у кредитора финансовой возможности для выдачи займа должнику, доказанности факта реальной передачи денежных средств должнику, частичного возврата заемных денежных средств, совершения между сторонами в обеспечение спорного займа договора об ипотеке (залоге недвижимости) и залоге транспортного средства, государственной регистрации ипотеки в установленном порядке. Отказывая в удовлетворении заявления об исключении квартиры из конкурсной массы, суд исходил из отсутствия оснований для распространения исполнительского иммунитета на спорную квартиру, поскольку спорное недвижимое имущество обременено ипотекой, требования залоговых кредиторов включены в реестр требований кредиторов должника как обеспеченные залогом квартиры.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кассационной жалобе, приводились в судах, были рассмотрены судами и мотивированно отклонены. Несогласие заявителя кассационной жалобы с выводами судов, основанными на установленных фактических обстоятельствах дела и оценке представленных доказательств,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Поскольку в передаче жалобы для рассмотрения в судебном заседании Судебной коллегии Верховного Суда Российской Федерации отказано и заявителем нарушены требования к подаче ходатайства о приостановлении исполнения судебных актов, установленные абзацем 2 части 3 статьи 291.6 Арбитражного процессуального кодекса Российской Федерации, оснований для рассмотрения ходатайства о приостановлении исполнения судебных актов не имеется.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Ассоциация "Региональная саморегулируемая организация профессиональных арбитражных управляющих" (подробнее) Инспекция Федеральной налоговой службы по Верх-Исетскому району г. Екатеринбурга (подробнее) Межрайонная инспекция Федеральной налоговой службы №22 по Свердловской области (подробнее) ООО "ТЭЯ" (подробнее) Федеральная налоговая служба (подробнее) Последние документы по делу: Определение от 30 августа 2022 г. по делу № А60-75020/2018 Определение от 21 сентября 2021 г. по делу № А60-75020/2018 Показать все документы по этому делу Судебная практика по: По залогу, по договору залога Судебная практика по применению норм ст. 334, 352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