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акционерное общество «ЮниКредит Банк» обратился в суд с заявлением о признании недействительными действий компании по регистрации уведомления от 27.12.2018 № 2018-002-9906586-004 о возникновении залога движимого имущества (установки по производству гигиенических изделий производства фирмы Dan-Web Machinery A/S (200-0274 R01 2015-09-11) в реестре уведомлений о залоге движимого имущества. Определением Арбитражного суда Челябинской области от 13.09.2021 в удовлетворении заявления отказано. Постановлением Восемнадцатого арбитражного апелляционного суда от 09.03.2022, оставленным без изменения постановлением Арбитражного суда Уральского округа от 22.06.2022,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без изменения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334.1, 339.1 Гражданского кодекса Российской Федерации, статьями 61.2, 61.3, 138 Федерального закона от 26.10.2002 № 127-ФЗ «О несостоятельности (банкротстве)», установив, что опубликование залога осуществлено компанией после возбуждения дела о банкротстве должника, что обеспечило преимущественное удовлетворение её требований перед иными кредиторами, признали заявление обоснованным и подлежащим удовлетворению.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Thyssenkrupp Materials Trading GmbH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