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06.12.2021, оставленным без изменения постановлением Девятого арбитражного апелляционного суда от 25.02.2022 и постановлением Арбитражного суда Московского округа от 28.04.2022, требования в размере 6 193 558 рублей 55 копеек основного долга и 2 308 048 рублей 69 копеек пеней включены в третью очередь реестра с учетом положений пункта 3 статьи 137 Федерального закона от 26.10.2002 № 127-ФЗ «О несостоятельности (банкротстве)». В кассационной жалобе Бондаренко И.С. просит об отмене судебных актов, ссылаясь на формальную оценку доказательств размера задолженности и полномочий компании на ее взыскание, наличие основания для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оценив представленные доказательства, признали спорную задолженность отвечающей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находящемуся в банкротстве должнику. Иная оценка должником доказательств не создает оснований для кассационного пересмотра судебных актов. Вопрос об уменьшении неустойки рассмотрен в соответствии с компетенцией и статьей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Бондаренко Игорю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