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12.11.2021, оставленным без изменения постановлением Девятого арбитражного апелляционного суда от 03.02.2022 и постановлением Арбитражного суда Московского округа от 19.05.2022, в иске отказано по мотиву недоказанности условий для взыскания штрафа. В кассационной жалобе общество «Паркер Сервис» просит о пересмотре судебных актов, ссылаясь на представление доказательств нарушения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Оспаривание выводов судов, основанных на оценке доказательств,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«Паркер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