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06.09.2021, оставленным без изменения постановлением Второго арбитражного апелляционного суда от 27.01.2022 и постановлением Арбитражного суда Волго-Вятского округа от 22.06.2022, отказано в удовлетворении ходатайств Солодилова Л.С. и Солодиловой Л.В. о приостановлении производства по делу, ходатайства финансового управляющего о выделении требований в отношении имущества в отдельное производство и приостановлении производства по спору в выделенной части, заявления об утверждении положения о порядке и условиях проведения открытых торгов в форме аукциона, порядке и условиях обеспечения сохранности имущества супругов Солодиловых, обязании Солодиловой Л.В. передать ключи, документы и сведения. В кассационной жалобе Солодилов Л.С. просит об отмене судебных актов, ссылаясь на неправильные мотивы отказа в утверждении положения о порядке продажи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Приведенные в жалобе доводы рассматривались, учитывались судами и не создают оснований для кассационного пересмотра судебных актов Верховным Судом Российской Федерации. Отказ в пересмотре судебных актов исключает приостановление их исполнения, о котором ходатайствует Солодилов Л.С.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Солодилову Леониду Сергеевичу в приостановлении исполнения судебных актов и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