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31.01.2022, оставленным без изменения постановлением Девятого арбитражного апелляционного суда от 11.03.2022 и постановлением Арбитражного суда Московского округа от 10.06.2022, производство по делу прекращено; вознаграждение финансового управляющего установлено в размере 25 000 рублей фиксированной выплаты и 3 608 306 рублей 43 копеек процентов. В кассационной жалобе финансовый управляющий просит об отмене судебных актов, ссылаясь на необоснованное снижение размера вознаграждения.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руководствовались правовым характером вознаграждения, следующим из пункта 5 постановления Пленума Высшего Арбитражного Суда Российской Федерации от 25.12.2013 № 97 «О некоторых вопросах, связанных с вознаграждением арбитражного управляющего при банкротстве», и статьями 20.3, 20.6, 59, 213.5, 213.9 Федерального закона от 26.10.2002 № 127-ФЗ «О несостоятельности (банкротстве)», содержащими критерии для установления вознаграждения арбитражного управляющего. Требование управляющего о пересмотре компетентного усмотрения судов в вопросе установления процентной части вознаграждения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Бажанову В.Н.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