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08.12.2021 требование кредитора в размере 6 660 000 рублей признано обоснованным и включено в третью очередь реестра. Пятый арбитражный апелляционный суд постановлением от 18.02.2022 изменил определение от 08.12.2021 и включил в третью очередь реестра требование размере 6 660 000 рублей, в том числе 6 060 000 рублей основного долга и 600 000 рублей неустойки. Арбитражный суд Дальневосточного округа постановлением от 28.04.2022 постановление апелляционного суда от 18.02.2022 оставил без изменения. В кассационной жалобе финансовый управляющий просит об отмене судебных актов, ссылаясь на неправомерное установление в реестре требования кредитора, подтвержденного решением суда общей юрисдикции, без надлежащей проверки правоотношений сторон.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обоснованным требование кредитора о включении подтвержденной судебным актом общей юрисдикции задолженности по договору займа, не оспоренному в рамках дела о банкротстве, в реестр как соответствующее критериям статей 71, 100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Крайнему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