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28.12.2021, оставленным без изменения постановлением Девятого арбитражного апелляционного суда от 01.03.2022 и постановлением Арбитражного суда Московского округа от 01.06.2022, требование в размере 999 156 рублей 36 копеек основного долга, 1 681 665 рублей 01 копейки процентов, 32 518 рублей 07 копеек государственной пошлины включены в третью очередь реестра, требование в размере 44 398 499 рублей 98 копеек неустойки – в третью очередь отдельно. В кассационной жалобе Белов М.В. просит о пересмотре судебных актов, ссылаясь на несоответствие их судебному акту суда общей юрисдикции, установившему несоразмерность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об уменьшении неустойки за период, не бывший предметом рассмотрения суда общей юрисдикции, рассмотрено судами в соответствии с компетенцией и статьей 333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Белову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