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16.11.2021, оставленным без изменения постановлением Семнадцатого арбитражного апелляционного суда от 18.02.2022 и постановлением Арбитражного суда Уральского округа от 16.05.2022, финансовому управляющему установлено повышенное вознаграждение за проведение процедуры реализации имущества должника в размере 2 332 821 рубля 87 копеек. В кассационной жалобе Агафонов С.И. просит об отмене судебных актов, ссылаясь на отсутствие у финансового управляющего права на стимулирующую часть вознаграждения.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финансового управляющего на вознаграждение признано судами возникшим в связи с его вкладом в достижение результата процедур банкротства должника, и требование о вознаграждении удовлетворено в соответствии с пунктом 17 статьи 20.6, пунктом 3 статьи 213.9 Федерального закона от 26.10.2002 № 127-ФЗ «О несостоятельности (банкротстве)». Иная оценка должником деятельности финансового управляющего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Агафонову С.И.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