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08.11.2021, оставленным без изменения постановлением Пятнадцатого арбитражного апелляционного суда от 27.01.2022 и постановлением Арбитражного суда Северо-Кавказского округа от 27.04.2022, в удовлетворении первоначального иска отказано, встречный иск удовлетворен. В кассационной жалобе терминал просит об отмене судебных актов, ссылаясь на неправильное применение срока исковой давности и ненадлежащие доказательства заказа и приемки услуг 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возникающие из договора от 11.07.2017 № ЕХ-АС-11072017 правоотношения как смешанные, поэтому применили к ним общий срок исковой давности, установленный статьей 196 Гражданского кодекса Российской Федерации. Вопросы доказывания и оценки доказательств оказания услуг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«Туапсинский балкерный 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"Новороссийская Промышленная Компания" (подробнее) ООО "ТБТ" (подробнее) ООО Туапсинский балкерный терминал (подробнее) Ответчики: ООО "НОВОРОССИЙСКАЯ ПРОМЫШЛЕННАЯ КОМПАНИЯ"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