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Поволжского округа от 31.03.2022, оставленным без изменения определением того же суда от 25.05.2022, Ананьеву Д.А. отказано в удовлетворении ходатайства о восстановлении срока на подачу кассационной жалобы на определение Арбитражного суда Самарской области от 02.09.2020 и постановление Одиннадцатого арбитражного апелляционного суда от 16.10.2020, жалоба возвращена. В кассационной жалобе Ананьев Д.А. просит отменить судебные акты как незаконные. Кассационная жалоба в части обжалования определения Арбитражного суда Самарской области от 02.09.2020 и постановления Одиннадцатого арбитражного апелляционного суда от 16.10.2020 подана с нарушением подсудности, установленной частью 1 статьи 291.1 Арбитражного процессуального кодекса Российской Федерации, поэтому в силу пункта 5 части 1 статьи 291.5 этого Кодекса в указанной части жалоба не подлежит рассмотрению по существу. Согласно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для пересмотра определений окружного суда не усматривается. Отказ в восстановлении пропущенного процессуального срока соответствует части 2 статьи 117 и пункту 2 части 1 статьи 281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Ананьеву Дмитрию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