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07.12.2021 требование признано обоснованным и включено во вторую очередь – в размере 57 715 рублей 44 копеек, в третью очередь – 25 866 рублей 99 копеек. Пятый арбитражный апелляционный суд постановлением от 18.02.2022 изменил определение от 07.12.2021, включив во вторую очередь 57 715 рублей 44 копеек основного долга, в третью очередь – 15 097 рублей 64 копейки основного долга, 4 999 рублей 09 копеек пеней, 5 770 рублей 26 копеек штрафа. Арбитражный суд Дальневосточного округа постановлением от 28.04.2022 постановление апелляционного суда от 18.02.2022 оставил без изменения. В кассационной жалобе финансовый управляющий просит об отмене судебных актов, ссылаясь на отсутствие доказательств направления ему и должнику уполномоченным органом налоговых требований.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16, 71, 100 Федерального закона от 26.10.2002 № 127-ФЗ «О несостоятельности (банкротстве)», статьями 23, 45, 46 Налогового кодекса Российской Федерации, признали доказанной предъявленную к включению в реестр задолженность должника по страховым взносам в Пенсионный фонд и Фонд ОМС, пеням и штрафам.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Крайнему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