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30.12.2021, оставленным без изменения постановлением Седьмого арбитражного апелляционного суда от 30.03.2022 и постановлением Арбитражного суда Западно-Сибирского округа от 09.06.2022, заявление удовлетворено. В кассационной жалобе Кудринская Г.Н. просит об отмене судебных актов, ссылаясь на неправильную оценку обстоятельств получения и использования спорной денежной суммы.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приобретение за счет денежных средств, полученных от кредитора, недвижимого имущества супругой должника, поэтому признали долг общим для супругов в силу статей 34, 45 Семейного кодекса Российской Федерации, статей 218.8, 213.19, 213.24, 213.26 Федерального закона от 26.10.2002 № 127-ФЗ «О несостоятельности (банкротстве)» и судебной практики их применения. Иная оценка заявителем обстоятельств спора не создает оснований для кассационного пересмотра оспариваемых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Кудринской Г.Н.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