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«ЭкоСервис» обратилось в суд с заявлением о пересмотре по вновь открывшимся обстоятельствам определения Арбитражного суда Краснодарского края от 18.11.2019 об отказе в признании недействительными торгов по реализации имущества должника (лоты № 3 и 4), заключенных по их результатам между должником и обществом с ограниченной ответственностью «ТехноГарант» договоров; применении последствий недействительности сделок. Определением Арбитражного суда Краснодарского края от 24.11.2021, оставленным без изменения постановлениями Пятнадцатого арбитражного апелляционного суда от 20.02.2022 и Арбитражного суда Северо-Кавказского округа от 05.05.2022,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Отказывая в удовлетворении заявления, суды руководствовались статьями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нём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обществам с ограниченной ответственностью «Кубанькапстрой» и «ЭкоСервис»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