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Иное толкование заявителем жалобы норм материального права, иная оценка обстоятельств дела и вытекающее из этого несогласие с исходом судебного разбирательства не могут являться основанием для пересмотра судебных актов Судебной коллегией Верховного Суда Российской Федерации. Процессуальных нарушений, которые могли бы служить безусловным основанием для отмены обжалуемых судебных актов, не установлено. 2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Рагозину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