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недействительными торгов по продаже имущества должника и договора уступки права (требования) от 21.09.2020, заключенного по их результатам с обществом с ограниченной ответственностью «Квестор». Определением Арбитражного суда Краснодарского края от 26.11.2021, оставленным без изменения постановлениями Пятнадцатого арбитражного апелляционного суда от 03.02.2022 и Арбитражного суда Северо-Кавказского округа от 05.05.2022,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449 Гражданского кодекса Российской Федерации, статьёй 110 Федерального закона от 26.10.2002 № 127-ФЗ «О несостоятельности (банкротстве)», не установили фактов нарушений действующего законодательства, прав и законных интересов должника, кредиторов и заявителя при проведении оспариваемых торгов по реализации дебиторской задолженности в форме публичного предложения, сговора победителя с организатором торгов, их заинтересованности, условия для признания недействительной заключенной по их результатам сделки, в связи с чем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«ЖилКомИнкасо – Нижний Новгород»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