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«Балтийская медицинская компания» (далее – общество) обратилось в Арбитражный суд города Москвы с заявлением к Московской областной таможне (далее – таможенный орган) о признании незаконными решения от 15.10.2020 № 44-14/110 и решения от 01.03.2021 № 62-18/52 по жалобе на решение, действие (бездействие) таможенного органа. Решением Арбитражного суда города Москвы от 13.07.2021 обществу отказано в удовлетворении заявленных требований. Постановлением Девятого арбитражного апелляционного суда от 11.10.2021 решение суда первой инстанции отменено, требования общества удовлетворены. 2 Арбитражный суд Московского округа постановлением от 13.04.2022 отменил постановление суда апелляционной инстанции и оставил в силе решение суда первой инстанции. Общество обратилось в Верховный Суд Российской Федерации с кассационной жалобой на решение суда первой инстанции и постановление суда округа, в которой просит их отменить, оставив в силе постановление суда апелляционной инстанции. Письмом судьи Верховного Суда Российской Федерации от 27.07.2022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Отказывая в удовлетворении заявленных обществом требований, суд первой инстанции, оценив представленные сторонами доказательства и руководствуясь положениями статьи 164 Налогового кодекса Российской Федерации, постановлением Правительства Российской Федерации от 15.09.2008 № 688 «Об утверждении перечней кодов медицинских товаров, облагаемых налогом на добавленную стоимость по налоговой ставке 10 процентов», признал недоказанным факт соблюдения обществом условий для применения ставки налога 10 процентов при ввозе на территорию Российской Федерации спорного товара. Суд округа согласился с указанными выводами суда первой инстанции Обжалуя судебные акты в Верховный Суд Российской Федерации, общество приводит доводы, которые являлись предметом рассмотрения суда первой инстанции и суда округа и получили надлежащую правовую оценку применительно к установленным фактическим обстоятельствам дела. Несогласие общества с толкованием судами норм законодательства применительно к установленным фактическим обстоятельствам дела в силу 3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Неправильного применения судом первой инстанции и судом округа норм материального права не допущено.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